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Бокова Дмитрия Николаевича на нарушение его конституционных прав частью 73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Д.Н.Бокова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Д.Н.Боков оспаривает конституционность части 73 статьи 3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Как следует из представленных материалов, Д.Н.Боков обратился в суд с административным исковым заявлением о присуждении компенсации за нарушение права на судопроизводство в разумный срок. Данное требование заявитель обосновал тем, что по его заявлению о преступлении, в котором утверждалось, что его брат – гражданин Б. представил в суд подложные 2 документы для получения наследства, с 2012 года неоднократно выносились и отменялись постановления об отказе в возбуждении уголовного дела в связи с отсутствием в действиях Б. признаков состава преступления. Определением судьи Ивановского областного суда от 8 ноября 2022 года, оставленным без изменения вышестоящими судами, производство по административному делу прекращено, поскольку суд установил, что Д.Н.Боков не является лицом, имеющим право на подачу заявления о присуждении компенсации за нарушение права на судопроизводство в разумный срок по причине отсутствия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преследования. По мнению заявителя, оспариваемое законоположение противоречит статье 46 (часть 1) Конституции Российской Федерации, поскольку не позволяет признать нарушенным его право на уголовное судопроизводство в разумный срок и назначить ему справедливую компенсацию.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Бокова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