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3552-О/2024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Панова Олега Викторовича на нарушение его конституционных прав рядом норм Уголовно-процессуального кодекса Российской Федерации, а также пунктом 13 статьи 2 Федерального закона «Об информации, информационных технологиях и о защите информации» и статьей 1 Федерального закона «Об обязательном экземпляре документов»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О.В.Панова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 от 22 апреля 2024 года ввиду отсутствия существенных нарушений закона, повлиявших на исход дела, отказано в передаче для рассмотрения в судебном заседании суда кассационной инстанции жалобы гражданина О.В.Панова об оспаривании вынесенных в его отношении приговора и последующих судебных решений. О.В.Панов просит признать не соответствующими статьям 1 (часть 1), 2, 4 (часть 2), 15 (части 1 и 2), 17 (часть 3), 18, 19 (части 1 и 2), 46 (часть 1), 2 49, 50 (часть 2), 52, 118 (часть 1) и 123 (часть 3) Конституции Российской Федерации статью 164 «Общие правила производства следственных действий», статью 170 «Участие понятых», часть первую статьи 176 «Основания производства осмотра», части вторую – четвертую и шестую статьи 177 «Порядок производства осмотра» и статью 180 «Протоколы осмотра и освидетельствования» УПК Российской Федерации, а также пункт 13 статьи 2 Федерального закона от 27 июля 2006 года № 149-ФЗ «Об информации, информационных технологиях и о защите информации» и статью 1 Федерального закона от 29 декабря 1994 года № 77-ФЗ «Об обязательном экземпляре документов». По утверждению заявителя, оспариваемые нормы нарушают его права, поскольку допускают формирование доказательств по уголовному делу путем осмотра сведений в сети «Интернет» с изложением в протоколе осмотра суждений участвующих в данном следственном действии лиц, что не позволяет проверить в суде источник происхождения таких сведений.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О.В.Пановым нормы Уголовно-процессуального кодекса Российской Федерации, определяющие общие правила производства следственных действий, правила участия в них понятых, регулирующие основания, порядок производства и закрепления результатов осмотра, не содержат неопределенности, равно как не предполагают они и каких-либо исключений из установленного названным Кодексом порядка доказывания по уголовным делам, согласно которому, в частности, все доказательства подлежат проверке путем установления их источников, а также оценке с точки зрения относимости, допустимости и достоверности, а в их совокупности – достаточности для разрешения дела (статья 87 и часть первая статьи 88) (определения Конституционного Суда Российской Федерации от 28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Панова Олега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