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Малакович Натальи Николаевны на нарушение ее конституционных прав пунктом 3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Н.Н.Малакович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Н.Н.Малакович ранее обращалась в Конституционный Суд Российской Федерации с жалобой на нарушение ее конституционных прав положениями Налогового кодекса Российской Федерации. Секретариат Конституционного Суда Российской Федерации уведомил заявительницу о несоответствии направленной жалобы требованиям Федерального конституционного закона от 21 июля 1994 года № 1-ФКЗ «О Конституционном Суде Российской Федерации» (в частности, о явном неисчерпании всех других внутригосударственных средств судебной защиты). 2 В связи с этим Н.Н.Малакович оспаривает конституционность пункта 3 статьи 97 «Допустимость жалобы» Федерального конституционного закона «О Конституционном Суде Российской Федерации». По мнению заявительницы, оспариваемое положение противоречит статьям 2, 15 (часть 1), 45, 46 (части 1 и 2), 47 (часть 1), 52 и 125 (части 1 и 4) Конституции Российской Федерации, поскольку связывает исчерпание внутригосударственных средств судебной защиты исключительно с обращением заявителя в Верховный Суд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подчеркивал, что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 (определения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Малакович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