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Овсянникова Петра Владимировича на нарушение его конституционных прав частью третьей статьи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П.В.Овсянникова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П.В.Овсянников оспаривает конституционность части третьей статьи 390 «Полномочия кассационного суда общей юрисдикции» ГПК Российской Федерации, закрепляющей, что кассационный суд общей юрисдикции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2 должно быть принято при новом рассмотрении дела; дополнительные доказательства судом кассационной инстанции не принимаются. Как следует из представленных материалов, определением кассационного суда общей юрисдикции оставлены без изменения судебные постановления судов первой и апелляционной инстанций, принятые по делу с участием П.В.Овсянникова.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этого суда. В связи с этим П.В.Овсянников просит признать оспариваемую норму не соответствующей статьям 17 (часть 3), 18, 19 (часть 1), 45 и 46 (часть 1) Конституции Российской Федерации, поскольку она не позволяет суду кассационной инстанции осуществлять собственную оценку и исследование доказательств, имеющихся в материалах дела, а также разрешать вопрос о возможном злоупотреблении судами нижестоящих инстанций правом при оценке этих доказательств.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390 ГПК Российской Федерации, находясь в системной связи с другими положениями параграфа 1 главы 41 данного Кодекса, регламентирующими производство в кассационном суде общей юрисдикции, предоставляет этому суду при проверке судебных постановлений право оценивать лишь правильность применения нижестоящими судами норм материального и процессуального права и не позволяет ему непосредственно исследовать доказательства (в том числе дополнительные) и устанавливать фактические обстоятельства дела, т.е. подменять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3 Вместе с тем оспариваемая норма не препятствует кассационному суду общей юрисдикции проверить соблюдение нижестоящими судами требований норм процессуального права о всестороннем, полном, объективном и непосредственном исследовании имеющихся в деле доказательств и при необходимости устранить допущенные нарушения в пределах предоставленных ему законом полномочий. Следовательно, часть третья статьи 390 ГПК Российской Федерации не может расцениваться в качестве нарушающей в указанном в жалобе аспекте конституционные права П.В.Овсянникова. Как следует из жалобы, заявитель, оспаривая конституционность названной нормы, выражает несогласие с выводами суда, касающимися выяснения и оценки фактических обстоятельств его дела. Однако исследование и оценка таких обстоятельств, установление оснований для выбора и применения норм права в конкретном деле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Овсянникова Петра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