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Феттера Альберта Евгеньевича на нарушение его конституционных прав статьями 330 и 3797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А.Е.Феттера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А.Е.Феттер оспаривает конституционность статей 330 «Основания для отмены или изменения решения суда в апелляционном порядке» и 3797 «Основания для отмены или изменения судебных постановлений кассационным судом общей юрисдикции»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А.Е.Феттеру отказано в удовлетворении исковых требований. Определением судьи Верховного Суда Российской Федерации, с которым согласился 2 заместитель Председателя этого суда,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заявителя, оспариваемые законоположения противоречат статьям 17 (часть 3), 18, 19 (части 1 и 2), 45 и 46 (часть 1) Конституции Российской Федерации, поскольку они без учета требований положений пункта 3 части четвертой статьи 198 ГПК Российской Федерации, части 2 статьи 10 ГК Российской Федерации и разъяснений, содержащихся в абзацах третьем – пятом пункта 1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позволяют судам апелляционной и кассационной инстанций не отменять недостаточно мотивированные постановления нижестоящих судов, в том числе при установленном факте недобросовестного поведения выигравшей спор стороны. Кроме того, А.Е.Феттер предлагает Конституционному Суду Российской Федерации инициировать внесение изменений в гражданское процессуальное законодательство Российской Федерации в предложенной им редакции.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330 и 3797 ГПК Российской Федерации, закрепляющие основания для отмены или изменения судебных постановлений соответственно в апелляционном и кассационном порядке, являются процессуальными гарантиями правильного рассмотрения и разрешения судами гражданских дел, призваны обеспечить исправление возможной ошибки, допущенной судом нижестоящей инстанции, и не препятствуют судам вышестоящих инстанций отменить или изменить на основании 3 пункта 4 части первой и части второй статьи 330, частей первой и второй статьи 3797 названного Кодекса судебные постановления, при принятии которых было допущено нарушение или неправильное применение норм материального или процессуального права, в том числе положений пункта 3 части четвертой статьи 198 и части третьей статьи 329 того же Кодекса, закрепляющих требование мотивированности судебных постановлений. Соответственно, указанные законоположения не могут расцениваться в качестве нарушающих конституционные права заявителя в обозначенном им аспекте. Установление же обоснованности выводов судов об отсутствии оснований для отмены судебных постановлений в апелляционном и кассационном порядке, равно как и внесение в законодательство целесообразных, по мнению А.Е.Феттера, изменений, не входит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Феттера Альберта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