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«Иль Примо» на нарушение его конституционных прав пунктом 4 статьи 1515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«Иль Примо»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«Иль Примо» (далее также – ООО «Иль Примо») оспаривает конституционность пункта 4 статьи 1515 «Ответственность за незаконное использование товарного знака» ГК Российской Федерации. Из представленных материалов следует, что решением арбитражного суда и постановлением суда апелляционной инстанции, которым оно было изменено, среди прочего, с ООО «Иль Примо» в пользу истца взыскана компенсация за нарушение исключительных прав на товарные знаки. В передаче кассационной жалобы ООО «Иль Примо» на постановление суда 2 апелляционной инстанции и постановление Суда по интеллектуальным правам, которым оно оставлено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ООО «Иль Примо», представившего также копию определения о введении в отношении него по заявлению истца процедуры наблюдения, оспариваемое положение противоречит статьям 2, 17 (часть 3), 18 и 19 (часть 2) Конституции Российской Федерации, поскольку во взаимосвязи с пунктом 2 статьи 4 Федерального закона от 26 октября 2002 года № 127-ФЗ «О несостоятельности (банкротстве)» оно позволяет учитывать требование о взыскании компенсации за нарушение исключительного права при определении наличия признаков банкротства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«Иль Примо»,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