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Пьянковой Ольги Александровны на нарушение ее конституционных прав положениями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О.А.Пьянковой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О.А.Пьянкова оспаривает конституционность пункта 5 части 2 статьи 14 «Основания государственного кадастрового учета и государственной регистрации прав», статьи 21 «Требования к документам, представляемым для осуществления государственного кадастрового учета и (или) государственной регистрации прав», пункта 3 части 1 статьи 29 «Порядок осуществления государственного кадастрового учета и государственной регистрации прав» и части 1 статьи 58 «Осуществление государственного кадастрового учета и (или) государственной регистрации прав на недвижимое имущество на основании решения суда» 2 Федерального закона от 13 июля 2015 года № 218-ФЗ «О государственной регистрации недвижимости». Как следует из представленных материалов, граждане – собственники квартиры, включая заявительницу, и коммерческая организация заключили мировое соглашение, предусматривающее выкуп последней данного жилого помещения. После перечисления соответствующих денежных средств коммерческая организация обратилась в уполномоченный государственный орган с просьбой о государственной регистрации перехода права собственности на означенную квартиру, приложив, помимо прочего, копию судебного определения об утверждении мирового соглашения. Данная просьба была реализована. Решением суда общей юрисдикции, с которым согласились суды вышестоящих инстанций, названным гражданам отказано в удовлетворении ряда административных исковых требований, направленных на оспаривание государственной регистрации перехода права собственности на указанное жилое помещение к коммерческой организации. По мнению О.А.Пьянковой, оспариваемые нормы противоречат статьям 18 и 35 (части 1–3) Конституции Российской Федерации, поскольку позволяют уполномоченному государственному органу рассматривать в качестве правоустанавливающего документа определение суда об утверждении мирового соглашения, в котором отсутствуют какие- либо предписания о правовой судьбе квартиры (ее принадлежности и государственной регистрации перехода права собственности), игнорируя тем самым требование о проведении правовой экспертизы документов, представленных для осуществления государственной регистрации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Нормативное регулирование, касающееся государственной регистрации недвижимости, принято законодателем, в частности, в целях обеспечения правовой определенности в сфере оборота недвижимого имущества, направлено на создание необходимых гарантий законности и стабильности в этой сфере, судебной защиты прав участников соответствующих правоотношений, а также способствует ведению имеющего публичный характер Единого государственного реестра недвижимости на основе принципов непротиворечивости и достоверности содержащихся в нем сведений (определения Конституционного Суда Российской Федерации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Пьянковой Ольги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