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Иващенко Татьяны Николаевны на нарушение ее конституционных прав пунктом 1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Т.Н.Иващенко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Т.Н.Иващенко оспаривает конституционность пункта 1 статьи 222 ГК Российской Федерации, закрепляющего понятие самовольной постройки.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 иск органа местного самоуправления в части признания здания, расположенного на земельном участке, принадлежащем заявительнице, самовольной постройкой и в части его сноса. Суды пришли к выводу, что данное строение, возведенное с нарушением вида разрешенного использования земельного участка 2 «эксплуатация индивидуального жилого дома», обладает признаками объекта гостиничного типа, но при этом не может использоваться для проживания граждан в связи с допущенными нарушениями противопожарных норм. По мнению Т.Н.Иващенко, оспариваемое законоположение противоречит Конституции Российской Федерации, ее статьям 17 (части 2 и 3) и 36, поскольку оно позволяет признавать самовольными постройками здания на основании их несоответствия виду разрешенного использования земельного участка без исследования вопросов о существенности допущенных нарушений и их реальном противоречии публичным интересам.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Постановления Конституционного Суда Российской Федерации от 14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Иващенко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