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Шарко Николая Васильевича на нарушение его конституционных прав пунктом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Н.В.Шарко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Н.В.Шарко оспаривает конституционность пункта 2 статьи 34 Семейного кодекса Российской Федерации, предусматривающего,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2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Как следует из представленных материалов, при разделе общего имущества Н.В.Шарко и его супруги, брак с которой был расторгнут, суд первой инстанции в решении, оставленном без изменения определением суда апелляционной инстанции, исходил из того, что к совместной собственности супругов относилось жилое помещение, приобретенное с использованием субсидии (статья 15 Федерального закона от 27 мая 1998 года № 76-ФЗ «О статусе военнослужащих»).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17 (часть 3), 19, 35 (части 1 и 2) и 40 (части 1 и 3)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оно позволяет относить к совместной собственности супругов жилое помещение, приобретенное за счет целевой субсидии, предоставленной лишь одному из них, и применяется произвольно. Кроме того, Н.В.Шарко указывает на нарушение конституционных прав своего несовершеннолетнего сына.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3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Шарко Николая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