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Хачатряна Ашота Овиковича на нарушение его конституционных прав частью второй статьи 432 Гражданского процессуального кодекса Российской Федерации и частью 1 статьи 23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А.О.Хачатряна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суда общей юрисдикции, с которым согласились суды кассационной инстанции, в том числе судья Верховного Суда Российской Федерации, взыскателю восстановлен пропущенный срок предъявления исполнительного документа к исполнению. Гражданин А.О.Хачатрян, являющийся должником по данному исполнительному документу, полагая, что восстановление пропущенного срока было осуществлено судом необоснованно, оспаривает конституционность части второй статьи 432 «Перерыв и восстановление срока предъявления исполнительного документа к исполнению» ГПК Российской Федерации и 2 части 1 статьи 23 «Восстановление пропущенного срока предъявления исполнительного документа к исполнению» Федерального закона от 2 октября 2007 года № 229-ФЗ «Об исполнительном производстве» и указывает на нарушение ими его прав, гарантированных статьями 1 (часть 1), 19 (части 1 и 2), 35 (части 1 и 2), 46 (часть 1) и 55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Хачатряна Ашота Овиковича,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