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Казаринова Артема Николаевича на нарушение его конституционных прав частью первой статьи 125, частью второй статьи 140, статьей 143 и частью первой статьи 144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А.Н.Казаринова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с которым согласились вышестоящие судебные инстанции, оставлена без удовлетворения поданная в порядке статьи 125 УПК Российской Федерации жалоба гражданина А.Н.Казаринова о признании незаконным постановления об отказе в возбуждении уголовного дела. При этом суды пришли к выводу, что доследственная проверка проведена в полном объеме надлежащим должностным лицом в установленном порядке. А.Н.Казаринов просит признать не соответствующими статьям 2, 17 (части 1 и 2), 46 (части 1 и 2), 52 и 53 Конституции Российской Федерации часть первую статьи 125 «Судебный порядок рассмотрения жалоб», часть 2 вторую статьи 140 «Поводы и основание для возбуждения уголовного дела», статью 143 «Рапорт об обнаружении признаков преступления» и часть первую статьи 144 «Порядок рассмотрения сообщения о преступлении» УПК Российской Федерации, поскольку они, по утверждению заявителя, позволяют следователю отказывать в возбуждении уголовного дела при наличии признаков преступления, а суду – оставлять в силе такое незаконное решение следователя.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Казаринова Артема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