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Андрианова Вячеслава Евгеньевича на нарушение его конституционных прав пунктом 2 статьи 612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В.Е.Андрианова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хозяйственного общества и оставленным без изменения постановлениями судов апелляционной и кассационной инстанций, было удовлетворено заявление конкурсного управляющего должника о признании недействительным договора аренды специального оборудования, заключенного между должником и гражданином В.Е.Андриановым, и применении последствий недействительности сделки. При этом суд исходил, в частности, из того, что оспариваемая сделка 2 совершена в отношении заинтересованного лица с целью причинения вреда имущественным правам кредиторов должника. В.Е.Андрианов оспаривает конституционность положений пункта 2 статьи 612 «Оспаривание подозрительных сделок должника»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2, 15, 17, 18, 35, 45 и 46 Конституции Российской Федерации, поскольку они, в частности, позволили суду не принять во внимание его доводы о надлежащем исполнении сделки сторонами и отсутствии цели причинения вреда кредиторам должника при ее совершении.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Достижению публично-правовой цели института банкротства, состоящей в обеспечении баланса прав и законных интересов лиц, участвующих в деле о банкротстве, должно способствовать осуществленное законодателем в рамках своей дискреции правовое регулирование, направленное на сохранение конкурсной массы, необходимой для справедливого удовлетворения требований кредиторов, в частности предусмотренный главой III1 Федерального закона «О несостоятельности (банкротстве)» институт оспаривания сделок должника. Пункт 2 статьи 612 Федерального закона «О несостоятельности (банкротстве)» предусматривает, в частности, что сделка, совершенная должником в целях причинения вреда имущественным правам кредиторов, может быть признана арбитражным судом недействительной,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(подозрительная сделка); предполагается, что 3 другая сторона знала об этом,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должника; цель причинения вреда имущественным правам кредиторов предполагается, если на момент совершения сделки должник отвечал или в результате совершения сделки должник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лица. Данные законоположения, направленные на противодействие совершению сделок в целях причинения вреда имущественным правам кредиторов, обеспечивают защиту их имущественных интересов и не могут расцениваться в качестве нарушающих конституционные права заявителя, указанные в жалобе. Установление же и оценка фактических обстоятельств конкретного дела, а равно и проверка правильности применения судами оспариваемых положений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Андрианова Вячеслава Евгеньевича,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