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«ОВЛ-метод» на нарушение его конституционных прав подпунктом 1 пункта 1 статьи 8, а также статьями 15 и 390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«ОВЛ-метод»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«ОВЛ-метод» (далее также – ООО «ОВЛ-метод») оспаривает конституционность подпункта 1 пункта 1 статьи 8 «Основания возникновения гражданских прав и обязанностей», а также статей 15 «Возмещение убытков» и 390 «Ответственность цедента» ГК Российской Федерации. Из представленных материалов следует, что судебными актами арбитражных судов (включая определение Судебной коллегии по экономическим спорам Верховного Суда Российской Федерации и постановление арбитражного суда кассационной инстанции) отказано в 2 удовлетворении двух заявлений ООО «ОВЛ-метод» о взыскании с конкурсного управляющего убытков в размере требований к третьим лицам, приобретенных заявителем на торгах в рамках дела о банкротстве коммерческой организации. В обоснование заявлений было указано, что требования не существовали в момент уступки. Суды отметили, что обязательства были правомерно исполнены должниками до начала реализации требований, что ООО «ОВЛ-метод» не могло получить доход в обозначенном размере, даже если бы конкурсный управляющий не инициировал проведение торгов, и что отсутствует причинно-следственная связь между действиями конкурсного управляющего и взыскиваемыми убытками в виде упущенной выгоды. По мнению заявителя, оспариваемые положения противоречат Конституции Российской Федерации, в частности ее статье 46 (часть 1), поскольку по смыслу, придаваемому им правоприменительной практикой в системе действующего правового регулирования, в случае недействительности переданного цессионарию требования они позволяют отказывать в возмещении убытков, поскольку причинно-следственная связь между убытками и действиями ответчика отсутствует.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1 пункта 1 статьи 8 ГК Российской Федерации имеет целью обеспечение определенности при возникновении гражданских прав и обязанностей и защиту интересов участников гражданского оборота, а также развивает конституционный принцип свободы договора. Статья 15 того же Кодекса, закрепляющая гарантии защиты и восстановления нарушенных прав потерпевших путем полного возмещения причиненного им вреда, служит цели реализации закрепленного в Конституции Российской Федерации принципа охраны права частной собственности законом (статья 35, часть 1) (определения Конституционного 3 Суда Российской Федерации от 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«ОВЛ-метод»,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