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Сергея Викторовича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С.В.Иванов оспаривает конституционность следующих законоположений: пункта 2 статьи 81 «Государственная регистрация прав на имущество», пункта 1 статьи 200 «Начало течения срока исковой давности», пункта 2 статьи 218 «Основания приобретения права собственности», а также статей 131 «Государственная регистрация недвижимости», 223 «Момент возникновения права собственности у приобретателя по договору», 301 «Истребование имущества из чужого незаконного владения» и 551 «Государственная регистрация перехода права собственности на недвижимость» ГК Российской Федерации; 2 статьи 16 «Государственная регистрация судна и прав на него, учет плавучих объектов» Кодекса внутреннего водного транспорта Российской Федерации. Из представленных материалов следует, что решением суда общей юрисдикции, с которым согласились суды вышестоящих инстанций, на заявителя возложена обязанность передать гражданке В. катер. Доводы С.В.Иванова о том, что указанное судно было передано ему во владение по договору купли-продажи, суды отклонили со ссылкой на то, что государственная регистрация перехода права собственности не была произведена. По мнению заявителя, оспариваемые нормы противоречат статьям 19 (часть 1), 35, 45 и 120 Конституции Российской Федерации в той мере, в какой в системе действующего правового регулирования, по смыслу, придаваемому правоприменительной практикой, они позволяют продавцу по договору купли-продажи катера истребовать из владения покупателя переданное ему судно при отсутствии регистрации перехода права собственности к последнему. Кроме этого, С.В.Иванов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81, пункт 2 статьи 218, статьи 131, 223 и 551 ГК Российской Федерации, определяющие, в частности, основания и порядок возникновения и перехода права собственности на имущество, в том числе недвижимое, а также статья 16 Кодекса внутреннего водного транспорта Российской Федерации, регулирующая помимо прочего вопросы государственной регистрации судна и прав на него, учитывают значение государственной регистрации прав на недвижимое имущество и призваны способствовать упрочению и стабильности гражданского оборота такого имущества. 3 Данные нормы, а также пункт 1 статьи 200 ГК Российской Федерации, сформулированный таким образом, что наделяет суд необходимыми полномочиями по определению момента начала течения срока исковой давности исходя из фактических обстоятельств дела, и статья 301 названного Кодекса, направленная на защиту прав собственника путем истребования имущества из чужого незаконного владения, не могут расцениваться в качестве нарушающих в обозначенном в жалобе аспекте конституционные права заявителя, в деле с участием которого суды помимо прочего учли, что спорное судно после заключения договора купли-продажи находилось в пользовании семьи В., в том числе заявителя – ее отца; при этом В. несла бремя содержания судна, в том числе исполняя обязанность по оплате налога на это имущество. Исследование же фактических обстоятельств, имеющих значение для разрешения конкретного дела, проверка обоснованности судебных постановлений с учетом этих обстоятельств, а также разрешение иных вопросов, поставленных в жалобе,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