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Рыжовой Клавдии Сергеевны на нарушение ее конституционных прав частями первой и второй статьи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К.С.Рыжовой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К.С.Рыжова оспаривает конституционность частей первой и второй статьи 56 «Обязанность доказывания»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отменено решение суда первой инстанции и принято новое решение об отказе в удовлетворении исковых требований заявительницы о взыскании денежных средств. Определением судьи Верховного Суда Российской Федерации, с которым согласился заместитель Председателя 2 этого суда, К.С.Рыжовой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оспариваемые законоположения противоречат статьям 15 (часть 2), 46 (часть 1) и 123 (часть 3) Конституции Российской Федерации во взаимосвязи с ее статьями 17 (части 1 и 2) и 19 (часть 1) в той мере, в какой они допускают основанную на внутреннем убеждении судьи оценку доказательств без учета правовых норм и разъяснений Конституционного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56 ГПК Российской Федерации, возлагающая на каждую сторону обязанность доказать те обстоятельства, на которые она ссылается как на основания своих требований и возражений, если иное не предусмотрено федеральным законом, конкретизирует статьи 19 (часть 1) и 123 (часть 3) Конституции Российской Федерации и является процессуальной гарантией права на судебную защиту в условиях действия принципов состязательности и равноправия сторон. Часть вторая статьи 56 того же Кодекса, наделяющая суд полномочиями определять, какие обстоятельства имеют значение для дела, какой стороне надлежит их доказывать, выносить обстоятельства на обсуждение, даже если стороны на какие-либо из них не ссылались, во взаимосвязи с другими предписаниями этого же Кодекса, в том числе закрепленными в его статьях 2 и 195, не допускает ее произвольного применения, является процессуальной гарантией права на судебную защиту и принятия судом законного и обоснованного решения. Данные полномочия суда вытекают из принципа самостоятельности судебной власти и являются проявлением его дискреционных полномочий, необходимых для осуществления правосудия. Гарантией процессуальных 3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Таким образом, оспариваемые законоположения, не исключающие обязанности суда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(часть первая статьи 11 того же Кодекса), не могут расцениваться как нарушающие конституционные права К.С.Рыжовой в обозначенном в ее жалобе аспекте.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Рыжовой Клавдии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