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Луньковой Анны Сергеевны на нарушение ее конституционных прав частью первой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А.С.Луньковой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А.С.Лунькова оспаривает конституционность части первой статьи 392 Трудового кодекса Российской Федерации, согласно которой 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–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661 данного Кодекса) у работодателя по последнему месту работы. 2 По мнению заявительницы, оспариваемая норма, примененная в ее деле судом, противоречит Конституции Российской Федерации, в частности ее статьям 15 (части 1 и 2), 17 (часть 1), 18, 19 (часть 1), 37 (части 4 и 5), 46 (часть 1) и 55 (часть 3), поскольку в связи с отсутствием в ней указания на трехгодичный срок обращения в суд по спору об увольнении после установления судом факта трудовых отношений позволяет отказывать в удовлетворении требования работника о восстановлении на работе ввиду пропуска им месячного срока на обращение в суд с момента установления названного факта.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Луньковой Анны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