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519-О/2025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Яценко Сергея Ивановича на нарушение его конституционных прав пунктом 9 части 3 статьи 82 Федерального закона «О службе в органах внутренних дел Российской Федерации и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С.И.Яценко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С.И.Яценко оспаривает конституционность пункта 9 части 3 статьи 82 Федерального закона от 30 ноября 2011 года № 342-ФЗ «О службе в органах внутренних дел Российской Федерации и внесении изменений в отдельные законодательные акты Российской Федерации», в силу которого контракт о службе в органах внутренних дел подлежит расторжению, а сотрудник органов внутренних дел увольнению со службы в связи с совершением проступка, порочащего честь сотрудника органов внутренних дел. 2 Как следует из представленных материалов, в июле 2017 года С.И.Яценко уволен со службы в органах внутренних дел по основанию, предусмотренному оспариваемой нормой. Перед увольнением в отношении заявителя было возбуждено уголовное дело, которое в сентябре 2019 года прекращено в связи с отсутствием в его действиях состава преступления (пункт 2 части первой статьи 24 УПК Российской Федерации). В 2018 году рассматривалось судом дело заявителя о признании незаконным заключения служебной проверки, явившегося основанием для его увольнения, изменении основания и даты увольнения, но иск его не был удовлетворен. Впоследствии С.И.Яценко дважды (в 2020–2021 годах и 2024 году) отказали в пересмотре указанного решения суда по новым обстоятельствам. По мнению заявителя, пункт 9 части 3 статьи 82 Федерального закона «О службе в органах внутренних дел Российской Федерации и внесении изменений в отдельные законодательные акты Российской Федерации» не соответствует статьям 19 (части 1 и 2), 46 (части 1 и 2) и 52–54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2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подана в срок не позднее одного года после принятия судебного решения, которым исчерпываются внутригосударственные средства судебной защиты, а в случае, если в пересмотре дела судом, решение которого обычно исчерпывает внутригосударственные средства судебной защиты по соответствующей категории дел, было отказано в связи с пропуском срока обжалования, – в срок не позднее одного года после принятия последнего судебного решения, в котором был применен соответствующий нормативный акт. Указанный годичный срок (пропуск которого выступает в качестве самостоятельного обстоятельства, 3 исключающего допустимость обращения в Конституционный Суд Российской Федерации) является разумным и достаточным для того, чтобы участники судопроизводства могли заблаговременно подготовить жалобу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Яценко Сергея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