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Савчук Оксаны Викторовны на нарушение ее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О.В.Савчук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О.В.Савчук оспаривает конституционность статьи 392 Трудового кодекса Российской Федерации, а фактически – ее части первой,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2 По мнению заявительницы, оспариваемая норма, примененная в ее деле судом, противоречит Конституции Российской Федерации, ее статьям 15, 18, 19 (части 1 и 2), 45 и 46 (части 1 и 2), поскольку ввиду отсутствия указания в ней на то, кто является ответчиком в индивидуальном трудовом споре, позволяет суду относить к такому спору спор между профсоюзной организацией и ее членом и исчислять предусмотренный этой нормой срок не со дня, когда истец узнал о нарушении своего права в соответствии с гражданским законодательством, а с даты увольнения.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Савчук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