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Александровича на нарушение его конституционных прав статьями 112 и 321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В.А.Кузнецов оспаривает конституционность статей 112 «Восстановление процессуальных сроков» и 321 ««Порядок и срок подачи апелляционных жалобы, представления»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В.А.Кузнецову было отказано в удовлетворении заявления о восстановлении срока для подачи апелляционной жалобы на решение того же суда, вынесенное в 2007 году в отношении гражданки П. об установлении факта родственных отношений.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2 В связи с этим В.А.Кузнецов полагает, что вследствие применения судом оспариваемых законоположений были нарушены его права, гарантированные статьями 23 (часть 1), 38 (часть 1) и 46 (части 1 и 2) Конституции Российской Федерации, поскольку при разрешении вопроса о восстановлении пропущенного процессуального срока на апелляционное обжалование лицом, не привлеченным к участию в деле, должны применяться положения статьи 9 «Применение исковой давности в семейных отношениях» Семейного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