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419-О/2025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Дьяковой Раисы Степановны на нарушение ее конституционных прав подпунктом 14 статьи 3916 Земельного кодекса Российской Федерации и частью 6 статьи 13 Закона Республики Крым «Об особенностях регулирования имущественных и земельных отношений на территории Республики Крым»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Р.С.Дьяковой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Р.С.Дьякова оспаривает конституционность следующих законоположений: подпункта 14 статьи 3916 Земельного кодекса Российской Федерации о принятии уполномоченным органом решения об отказе в предоставлении земельного участка, находящегося в государственной или муниципальной собственности, если разрешенное использование земельного участка не 2 соответствует целям использования такого земельного участка, указанным в заявлении о предоставлении земельного участка; части 6 (в жалобе ошибочно названной пунктом 6) статьи 13 Закона Республики Крым от 31 июля 2014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Согласно статье 36 Конституции Российской Федерации владение, пользование и распоряжение землей и другими природными ресурсами осуществляются их собственниками свободно, если это не наносит ущерба окружающей среде и не нарушает прав и законных интересов иных лиц (часть 2), условия и порядок пользования землей определяются на основе федерального закона (часть 3). В развитие приведенных конституционных положений Земельный кодекс Российской Федерации в числе основных принципов земельного законодательства закрепляет принцип деления земель по целевому назначению на категории, согласно которому правовой режим земель определяется исходя из их принадлежности к определенной категории и разрешенного использования в соответствии с зонированием территорий и требованиями законодательства (подпункт 8 пункта 1 статьи 1). Подпункт 14 статьи 3916 данного Кодекса, развивающий этот принцип, призван обеспечить на этапе предоставления земельного участка, относящегося к публичной собственности, его будущее правомерное использование и надлежащее освоение, определяемое именно видами разрешенного использования. Соответственно, оспариваемые взаимосвязанные нормы, согласующиеся при этом с конституционно установленной иерархией федеральных и региональных законов (статья 76, часть 2, Конституции Российской Федерации), сами по себе не могут расцениваться в качестве нарушающих конституционные права заявительницы. Установление же и исследование фактических обстоятельств конкретного дела не входят в компетенцию Конституционного Суда Российской Федерации, определенную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4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Дьяковой Раисы Степановны,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