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Филиппова Андрея Викторовича на нарушение его конституционных прав статьями 15, 195–197 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А.В.Филиппова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А.В.Филиппов оспаривает конституционность статей 15 «Возмещение убытков», 195 «Понятие исковой давности», 196 «Общий срок исковой давности», 197 «Специальные сроки исковой давности» и 200 «Начало течения срока исковой давности» ГК Российской Федерации. Как следует из представленных материалов, определением арбитражного суда по обособленному спору в рамках дела о банкротстве акционерного общества «Шахта «Алексиевская» с ряда юридических лиц и граждан, включая А.В.Филиппова, взысканы солидарно убытки, причиненные указанному акционерному обществу. Определение поддержано 2 арбитражным судом кассационной инстанции. Определением судьи Верховного Суда Российской Федерации отказано в передаче кассационной жалобы А.В.Филиппова для рассмотрения в судебном заседании Судебной коллегии по экономическим спорам этого суда. По мнению А.В.Филиппова, оспариваемые положения Гражданского кодекса Российской Федерации противоречат статьям 19 (часть 1), 34 (часть 1), 35 (части 1–3), 46 (часть 1) и 55 (часть 3) Конституции Российской Федерации, поскольку нарушают принцип равенства и требование правовой определенности норм права, а именно: статья 15 позволяет взыскивать убытки в размере, превышающем сумму полученной причинителем вреда выгоды; статьи 195–197 и 200 не предусматривают применения исковой давности к требованиям о возмещении убытков, рассчитанных помесячно, с учетом того, что срок исковой давности по ним истек, так как истец изменил предмет и основание иска.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 ГК Российской Федерации, закрепляющая один из способов защиты гражданских прав – возмещение убытков, направлена на реализацию принципа охраны права частной собственности законом (статья 35, часть 1, Конституции Российской Федерации) и сама по себе не может рассматриваться в качестве нарушающей в указанном в жалобе аспекте конституционные права заявителя, равно как и положения статей 195–197 и 200 того же Кодекса, устанавливающие срок исковой давности и правила его исчисления, преследующие цель обеспечения стабильности гражданского оборота и направленные на достижение баланса интересов всех участников соответствующих правоотношений. При этом,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Филиппова Андрея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