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Федякова Романа Петровича на нарушение его конституционных прав статьями 119 и 120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Р.П.Федякова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Р.П.Федяков оспаривает конституционность статей 119 «Изменение установленного судом размера алиментов и освобождение от уплаты алиментов» и 120 «Прекращение алиментных обязательств»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Р.П.Федякова об освобождении его от уплаты алиментов на несовершеннолетних детей, в обоснование которого заявитель указывал, что дети находятся на полном государственном 2 обеспечении. Суд первой инстанции отметил, что обучение детей в училище не означает их нахождения на полном государственном обеспечении и что истец обязан содержать своих детей в силу закона. В передаче кассационной жалобы на данные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19 и 38 Конституции Российской Федерации, поскольку по смыслу, придаваемому им правоприменительной практикой, они не позволяют освободить плательщика от уплаты алиментов на несовершеннолетнего ребенка, если второй родитель не нуждается в помощи в связи с тем, что ребенок до совершеннолетия находится на полном государственном обеспечении.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Федякова Романа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