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Морозовой Татьяны Владимировны на нарушение ее конституционных прав частью первой статьи 3, частью шестой статьи 112 и частью третьей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Т.В.Морозовой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Т.В.Морозова оспаривает конституционность части первой статьи 3 «Право на обращение в суд», части шестой статьи 112 «Восстановление процессуальных сроков» и части третьей статьи 390 «Полномочия кассационного суда общей юрисдикции» ГПК Российской Федерации. Как следует из представленных материалов, определением судьи кассационного суда общей юрисдикции, с которым согласилась судебная коллегия по гражданским делам этого суда, Т.В.Морозовой было отказано в восстановлении пропущенного процессуального срока на подачу кассационной жалобы.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Т.В.Морозова, указывая на неопределенность и неполноту содержания оспариваемых положений, просит проверить их соответствие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шестая статьи 112 ГПК Российской Федерации предусматривает возможность восстановления пропущенных процессуальных сроков подачи кассационных или надзорных жалоб в случаях, если суд признает уважительными причины их пропуска по обстоятельствам, объективно исключающим возможность подачи кассационной или надзорной жалобы в установленный срок (тяжелая болезнь лица, подающего жалобу, его беспомощное состояние и др.), и эти обстоятельства имели место в период не позднее одного года со дня вступления обжалуемого судебного постановления в законную силу. Данное законоположение имеет целью расширение гарантий судебной защиты прав и законных интересов участников гражданского судопроизводства. Вопрос о восстановлении процессуального срока решается судьей не произвольно, а на основании исследования фактических обстоятельств дела в пределах предоставленной ему законом свободы усмотрения. Дополнительной гарантией реализации данного права – в случае пропуска срока, предусмотренного частью первой статьи 3761 ГПК Российской Федерации, – выступает возможность обжаловать определение судьи кассационного суда общей юрисдикции об отказе в восстановлении срока подачи кассационной жалобы (часть четвертая статьи 3761 названного Кодекса). 3 Таким образом, часть шестая статьи 112 ГПК Российской Федерации, а равно и конкретизирующая положение статьи 46 Конституции Российской Федерации часть первая статьи 3 ГПК Российской Федерации не могут расцениваться в качестве нарушающих конституционные права заявительницы. Что касается оспариваемой Т.В.Морозовой части третьей статьи 390 ГПК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заявительницей материалами не подтверждается применение данного законоположения судами в деле с ее участием, а потому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Морозовой Татьяны Владимировны,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