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997-О/2025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Хургина Романа Ефимовича на нарушение его конституционных прав частью второй статьи 321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Р.Е.Хургина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общей юрисдикции, с которым согласились суды вышестоящих инстанций, в том числе судья Верховного Суда Российской Федерации, апелляционная жалоба гражданина Р.Е.Хургина на решение этого суда была возвращена в связи с пропуском установленного законом срока на ее подачу, о восстановлении которого заявитель не ходатайствовал. В связи с этим Р.Е.Хургин оспаривает конституционность части второй статьи 321 «Порядок и срок подачи апелляционных жалобы, представления» ГПК Российской Федерации. 2 По мнению заявителя, данная норма не соответствует статьям 19 (часть 1), 46 (часть 1) и 55 (часть 3) Конституции Российской Федерации, поскольку она предусматривает возможность подачи апелляционной жалобы в течение месяца со дня принятия решения судом первой инстанции в окончательной форме, а не с момента, когда участвующее в деле лицо получило заверенную копию этого решения.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Хургина Романа Ефимовича,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