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Зинина Юрия Николаевича на нарушение его конституционных прав положениями статьи 158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Ю.Н.Зинина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городского суда (оставленным без изменения апелляционным определением) гражданин Ю.Н.Зинин признан виновным в совершении кражи чужого имущества. Оставляя без удовлетворения жалобу адвоката осужденного, кассационный суд общей юрисдикции признал правильность установления фактических обстоятельств (выразившихся в обнаружении потерянного телефона, замене на нем защитного стекла и удалении с его корпуса идентифицирующих признаков) и квалификации деяния. Постановлением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инстанции, с чем согласился заместитель Председателя Верховного Суда Российской Федерации. 2 В связи с этим гражданин Ю.Н.Зинин утверждает, что часть первая статьи 158 «Кража» УК Российской Федерации и пункт 1 примечаний к этой статье не соответствуют статьям 18, 19, 45, 46 (часть 1), 54 и 55 (части 2 и 3) Конституции Российской Федерации, поскольку они – по смыслу, придаваемому им сложившейся правоприменительной практикой, – позволяют привлекать к уголовной ответственности лицо, которое присвоило (обратило в свою пользу) найденное им чужое (принадлежащее на праве собственности другому лицу) имущество.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Зинина Юрия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