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1725-О/2025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Бологова Александра Евгеньевича на нарушение его конституционных прав пунктом 1 статьи 723, пунктами 1 и 3 статьи 737 Гражданского кодекса Российской Федерации, а также пунктами 1 и 6 статьи 29 Закона Российской Федерации «О защите прав потребителей»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А.Е.Бологова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А.Е.Бологов оспаривает конституционность пункта 1 статьи 723 «Ответственность подрядчика за ненадлежащее качество работы», пунктов 1 и 3 статьи 737 «Последствия обнаружения недостатков в выполненной работе» ГК Российской Федерации, а также пунктов 1 и 6 статьи 29 «Права потребителя при обнаружении недостатков выполненной работы (оказанной услуги)» Закона Российской Федерации от 7 февраля 1992 года № 2300-I «О защите прав потребителей». Как следует из представленных материалов, решением суда общей юрисдикции, с которыми согласились суды вышестоящих инстанций, 2 частично удовлетворены исковые требования о взыскании с А.Е.Бологова (индивидуального предпринимателя) стоимости устранения недостатков выполненной работы, штрафа, компенсации морального вреда. По мнению заявителя, оспариваемые нормы противоречат статьям 17 (часть 3), 19 (части 1 и 2) и 55 (часть 3) Конституции Российской Федерации в той мере, в какой по смыслу, придаваемому им правоприменительной практикой, они наделяют потребителя – заказчика по договору бытового подряда правом требовать от подрядчика возмещения стоимости устранения недостатков выполненной работы (оказанной услуги) без фактического несения потребителем расходов на производство работ по устранению недостатков и без производства им таких работ, одновременно возлагают на подрядчика обязанность по удовлетворению таких требований и в случае неисполнения позволяют возлагать на него дополнительную ответственность в виде взыскания штрафа за неисполнение в установленный срок требований потребителя.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723 ГК Российской Федерации, закрепляющий перечень способов защиты гражданских прав, которыми заказчик вправе по своему выбору воспользоваться в случаях, когда работа выполнена подрядчиком с недостатками, которые делают результат работы не пригодным для предусмотренного в договоре использования либо для обычного использования при отсутствии в договоре соответствующего условия, призван обеспечить соблюдение баланса интересов сторон договора подряда (Определение Конституционного Суда Российской Федерации от 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Бологова Александра Евгеньевича,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