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Блынской Валентины Григорьевны на нарушение ее конституционных прав абзацем третьим пункта 2 статьи 33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В.Г.Блынской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В.Г.Блынская – ответчица в инициированном администрацией городского округа споре по поводу права собственности на земельный участок оспаривает конституционность абзаца третьего пункта 2 статьи 33 Федерального закона от 25 октября 2001 года № 137-ФЗ «О введении в действие Земельного кодекса Российской Федерации», предусматривающего в качестве общего правила и в нормативном единстве с иными положениями данного пункта, что предоставление земельных участков, государственная собственность на которые не разграничена, осуществляется органом местного самоуправления соответствующего муниципального образования. 2 По мнению заявительницы, оспариваемое законоположение не соответствует Конституции Российской Федерации, ее статьям 1, 2, 7, 9, 12, 16, 19 (части 1 и 2), 35, 41, 42, 45, 46, 55 (часть 3), 72 (пункт «н» части 1), 751, 130, 132 (части 2 и 3) и 133, поскольку позволяет рассматривать органы местного самоуправления в качестве надлежащих истцов в имущественных спорах о возврате земельных участков из частной собственности в неразграниченную государственную собственность.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правовой позиции Конституционного Суда Российской Федерации, изложенной в Постановлении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Блынской Валентины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