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2334-О/2025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Борисова Вадима Анатольевича на нарушение его конституционных прав пунктами 1–3 статьи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В.А.Борисова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В.А.Борисов, которому отказано в удовлетворении требования о признании права собственности на объект недвижимости в порядке приобретательной давности, оспаривает конституционность пунктов 1– 3 статьи 234 «Приобретательная давность» ГК Российской Федерации. По мнению заявителя, оспариваемые законоположения противоречат Конституции Российской Федерации, ее статьям 1, 2, 15, 19, 35, 36, 45 и 46, в той мере, в какой по смыслу, придаваемому правоприменительной практикой, в частности пунктом 15 постановления Пленума Верховного Суда Российской Федерации и Пленума Высшего Арбитражного Суда Российской Федерации от 29 апреля 2010 года № 10/22 «О некоторых вопросах, возникающих в судебной практике при разрешении споров, связанных с защитой права собственности и 2 других вещных прав», воспрепятствовали признанию права собственности в порядке приобретательной давности за лицом, которому прежний правообладатель передал имущество по договору без нарушения прав и законных интересов третьих лиц.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Борисова Вадима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