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«Омскоблводопровод» на нарушение его конституционных прав положениями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«Омскоблводопровод»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«Омскоблводопровод» (далее – общество) оспаривает конституционность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(утверждены постановлением Правительства Российской Федерации от 30 ноября 2021 года № 2130; далее – Правила), а фактически – абзацев четвертого и пятого их пункта 2, подпункта «к» пункта 25 и пункта 32. 2 Как следует из представленных материалов, общество, являющееся гарантирующим поставщиком коммунальных услуг по водоснабжению на территории муниципального района, неоднократно приостанавливало рассмотрение и аннулировало заявления гражданки Н. о подключении к централизованной системе холодного водоснабжения. Решением суда общей юрисдикции, с которым согласились суды вышестоящих инстанций, действия общества признаны незаконными, на него возложена обязанность подготовить проект договора и осуществить подключение объекта, а также с него взысканы компенсация морального вреда и штраф. По мнению общества, оспариваемые нормативные положения противоречат статьям 8 и 9 Конституции Российской Федерации. В жалобе указано, что в случае, когда подключаемым объектом является водопроводная сеть, они недостаточно четко определяют перечень технических параметров, подлежащих учету при расчете баланса водопотребления.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«Омскоблводопровод»,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