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486-О/2025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Алчинова Дениса Викторовича на нарушение его конституционных прав пунктом 1 статьи 302 и подпунктом 2 пункта 1 статьи 352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Д.В.Алчинова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Д.В.Алчинов оспаривает конституционность пункта 1 статьи 302 «Истребование имущества от добросовестного приобретателя» и подпункта 2 пункта 1 статьи 352 «Прекращение залога» ГК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на транспортное средство, приобретенное Д.В.Алчиновым по договору купли-продажи, обращено взыскание как на предмет залога; отказано в удовлетворении требований заявителя о признании его добросовестным приобретателем и признании залога 2 прекращенным. Суды указали, что упомянутый договор купли-продажи заключен после внесения сведений о залоге в реестр уведомлений о залоге движимого имущества и что Д.В.Алчинов, не проявив разумной осмотрительности, запросил лишь информацию о продавце и не истребовал из реестра сведений о транспортном средстве.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Конституции Российской Федерации, в частности ее статье 46 (часть 1), поскольку по смыслу, придаваемому им правоприменительной практикой, они не раскрывают понятия «добросовестный приобретатель» и условий признания приобретателя добросовестным и не дают возможность признать добросовестным приобретателя, который не знал о залоге и при заключении договора совершил все необходимые и доступные действия, позволяющие установить отсутствие соответствующих обременений.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Обеспечение интересов залогодержателя при переходе права на заложенное имущество к другому лицу составляет конституирующий элемент этого института, без которого залог не может выполнять свои функции (Постановление Конституционного Суда Российской Федерации от 21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Алчинова Дениса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