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Уланова Дмитрия Александровича на нарушение его конституционных прав частью третьей статьи 263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Д.А.Уланова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оставлено без рассмотрения заявление гражданина Д.А.Уланова об установлении факта, имеющего юридическое значение, – даты и времени смерти отца и брата заявителя для определения круга наследников в порядке наследственной трансмиссии и очередности наследования – в связи с наличием спора о праве на наследственное имущество.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2 В связи с этим Д.А.Уланов оспаривает конституционность части третьей статьи 263 «Порядок рассмотрения и разрешения дел, рассматриваемых судом в порядке особого производства» ГПК Российской Федерации, полагая, что она не соответствует статьям 18, 46 (часть 1) и 47 (часть 1) Конституции Российской Федерации, поскольку по смыслу, придаваемому ей правоприменительной практикой, позволяет суду оставить без рассмотрения заявление об установлении факта, имеющего юридическое значение, без наличия спора о праве именно в судебном процессе по рассмотрению этого заявления, а также лишает заявителя по такого рода делам возможности устанавливать факты, имеющие юридическое значение, для использования их в качестве оснований для возобновления споров о праве, в разрешении которых судом было отказано ввиду неустановления указанных фактов в исковом порядке, т.е. блокирует реализацию права заявителя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Уланова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