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Харитонкина Олега Анатольевича на нарушение его конституционных прав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О.А.Харитонкина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О.А.Харитонкин оспаривает конституционность пункта 1 части первой статьи 134 «Отказ в принятии искового заявления»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О.А.Харитонкину отказано в принятии искового заявления к Минфину России в лице территориального управления Федерального казначейства о возмещении вреда, причиненного в результате действий суда общей юрисдикции. Определением судьи Верховного Суда Российской Федерации заявителю было 2 отказано в передаче кассационной жалобы для рассмотрения в судебном заседании Судебной коллегии по гражданским делам этого суда. Суды исходили из того, что заявленное требование не подлежит рассмотрению в порядке искового производства, поскольку законом установлен иной порядок проверки законности и обоснованности судебных постановлений. По мнению О.А.Харитонкина, оспариваемое законоположение не соответствует статьям 17 (части 2 и 3), 19 (часть 1), 35 (части 1 и 2), 45 (часть 1), 46 (часть 1), 55 (части 2 и 3) и 123 (часть 3) Конституции Российской Федерации, поскольку позволяет отказывать в принятии судом искового заявления к Российской Федерации в лице Минфина России на основании пункта 2 статьи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Харитонкина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