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частью первой статьи 123 и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неоднократно обращавшийся в суд с жалобой в порядке статьи 125 «Судебный порядок рассмотрения жалоб» УПК Российской Федерации, просит признать данную норму во взаимосвязи с частью первой статьи 123 «Право обжалования» того же Кодекса не соответствующими Конституции Российской Федерации в той мере, в какой они не позволяют повторно обжаловать решение того же должностного лица по другому основанию с приведением ранее не заявленных доводов.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Право на судебную защиту, как оно сформулировано в статье 46 Конституции Российской Федерации, не предполагает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определяются, исходя из Конституции Российской Федерации, федеральными законами (определения Конституционного Суда Российской Федерации от 22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