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фирма «Возможность» на нарушение его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фирма «Возможность»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фирма «Возможность» (далее также – общество) оспаривает конституционность пункта 1 статьи 234 «Приобретательная давность» ГК Российской Федерации. Как следует из представленных материалов, заявитель заключил договор купли-продажи объектов недвижимости, при этом право собственности на них как за ним самим, так и за кем-либо из прежних владеющих лиц в Едином государственном реестре недвижимости зарегистрировано не было. Впоследствии общество обратилось в суд с требованием о признании права собственности на это имущество в порядке приобретательной давности. Решением арбитражного суда, с которым согласились суды вышестоящих инстанций, в удовлетворении иска отказано. 2 Помимо прочего, суды отметили, что общество знало об отсутствии основания возникновения у него права собственности, и пришли к выводу, что его давностное владение не является добросовестным. По мнению заявителя, пункт 1 статьи 234 ГК Российской Федерации противоречит статьям 34 (часть 1), 35 (часть 2) и 55 (часть 3) Конституции Российской Федерации, поскольку – с учетом его истолкования в конкретном деле судами, указавшими, что ввиду действовавшего на момент заключения сделки Федерального закона от 21 июля 1997 года № 122-ФЗ «О государственной регистрации прав на недвижимое имущество и сделок с ним» право собственности на спорное имущество может возникнуть только в результате государственной регистрации и только в том случае, если предварительно будет зарегистрировано право собственности продавца, – препятствует признанию права собственности в силу приобретательной давности за лицом, правомерно вступившим во владение имуществом в период действия указанного Федерального закона без осуществления установленных им процедур.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фирма «Возможность»,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