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793-О/2025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 на нарушение его конституционных прав статьями 63, 66 и 69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 оспаривает конституционность статей 63 «Права и обязанности родителей по воспитанию и образованию детей», 66 «Осуществление родительских прав родителем, проживающим отдельно от ребенка» и 69 «Лишение родительских прав» Семейного кодекса Российской Федерации. Из представленных материалов следует, что решением суда общей юрисдикции, оставленным без изменения определением суда апелляционной инстанции, среди прочего, С. лишен родительских прав в отношении несовершеннолетней дочери. Суды сослались на задолженность заявителя по алиментам и отметили, что он уклоняется от выполнения обязанностей родителя и безразлично относится к ребенку. Суд апелляционной инстанции 2 подчеркнул, что вступившим в законную силу решением суда об отказе в лишении С. родительских прав заявитель предупрежден о необходимости изменить отношение к воспитанию и содержанию дочери, однако этого не сделал. В передаче кассационной жалобы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нормы противоречат статьям 15 (часть 2), 17 (часть 2), 19, 46 (часть 1), 47 (часть 1), 55 (часть 3) и 123 Конституции Российской Федерации, поскольку по смыслу, придаваемому им правоприменительной практикой в системе действующего правового регулирования, они не позволяют гражданину воспитывать ребенка и защищать свои права в судебном заседании.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63 Семейного кодекса Российской Федерации конкретизируют статьи 38 (часть 2) и 43 (часть 4) Конституции Российской Федерации. Статья 66 того же Кодекса, предусматривающая основные положения об осуществлении родительских прав родителем, проживающим отдельно от ребенка, также конкретизирует статью 38 (часть 2) Конституции Российской Федерации и не ограничивает сама по себе объем родительских прав (определения Конституционного Суда Российской Федерации от 27 октября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