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Худякова Владимира Михайловича на нарушение его конституционных прав рядом положений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В.М.Худякова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В.М.Худяков оспаривает конституционность подпункта 1 пункта 1 статьи 8 «Основания возникновения гражданских прав и обязанностей», пункта 1 статьи 10 «Пределы осуществления гражданских прав», пункта 2 статьи 168 «Недействительность сделки, нарушающей требования закона или иного правового акта», статей 169 «Недействительность сделки, совершенной с целью, противной основам правопорядка или нравственности» и 210 «Бремя содержания имущества» ГК Российской Федерации. Как следует из представленных материалов, заявитель, будучи собственником земельного участка, расположенного в границах коттеджного 2 поселка, заключил с коммерческой организацией договор на обслуживание данного поселка, дополнительное соглашение к которому предусматривало обязанность последней выполнить комплекс работ по укладке асфальтового покрытия дорог за определенную плату, а также содержало ссылку на аналогичные договорные обязательства собственников других земельных участков в том же поселке. Решением суда общей юрисдикции, с которым согласились суды вышестоящих инстанций, удовлетворены исковые требования названного юридического лица о взыскании с В.М.Худякова задолженности за выполненные работы согласно условиям указанного дополнительного соглашения. Суды пришли к выводу, что осуществленное истцом асфальтирование улучшило качество жизни на территории поселка, повысило его благоустройство и привело к удорожанию земельных участков, расположенных в его границах, отклонив при этом довод заявителя о необходимости организации подобного рода дорожных работ исключительно органом местного самоуправления и за его счет. По мнению В.М.Худякова, полагающего, что названное дополнительное соглашение является ничтожной сделкой, оспариваемые законоположения противоречат Конституции Российской Федерации, в том числе ее статьям 19 (часть 1) и 36 (часть 3), поскольку они, помимо прочего, позволяют возлагать на жителей населенного пункта обязанность несения расходов, связанных с созданием на чужих земельных участках объектов, являющихся – согласно документам территориального планирования – частью автомобильных дорог местного значения, расположенных в границах населенного пункта.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Требования В.М.Худякова, а также приведенные в обоснование его позиции доводы свидетельствуют о том, что нарушение своих конституционных прав он связывает не с содержанием оспариваемых 3 законоположений, а с имевшей место, по его мнению, неправильной оценкой судами конкретных договорных условий, которые надлежало квалифицировать в качестве незаконных, а соответственно, не подлежащих применению. Тем самым заявитель, по сути, ставит вопрос, разрешение которого не входит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Худякова Владимира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