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частью третьей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части третьей (в жалобе ошибочно названа пунктом 3 части 14) статьи 81 Трудового кодекса Российской Федерации, согласно которой увольнение по основанию, предусмотренному пунктом 2 (сокращение численности или штата работников организации, индивидуального предпринимателя) или 3 (несоответствие работника занимаемой должности или выполняемой работе вследствие недостаточной квалификации, подтвержденной результатами аттестации) части первой данной статьи, допускается, если 2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договором. Как следует из материалов жалобы, заявитель был уволен по основанию, предусмотренному пунктом 2 части первой статьи 81 Трудового кодекса Российской Федерации. Считая увольнение незаконным, А.Ю.Печорин обратился в суд с исковыми требованиями к бывшему работодателю, в том числе о восстановлении на работе. Суд, отказывая заявителю в удовлетворении данного требования, указал, что процедура увольнения работодателем была соблюдена, вакансии у работодателя отсутствовали. По мнению заявителя, оспариваемая норма не соответствует статье 7 (часть 2) Конституции Российской Федерации, поскольку она в системе действующего правового регулирования по смыслу, придаваемому правоприменительной практикой, позволяет суду произвольно ее толковать и признавать законным предложение работнику при увольнении вакансий только по месту нахождения филиала.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