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Б. на нарушение его конституционных прав частью первой статьи 318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 оспаривает конституционность части первой статьи 318 «Применение насилия в отношении представителя власти» УК Российской Федерации. Постановлением районного суда установлен факт совершения Б. в состоянии невменяемости запрещенного уголовным законом деяния, выразившегося в применении насилия, не опасного для жизни и здоровья, угрозе применения насилия в отношении представителя власти в связи с исполнением им своих должностных обязанностей, и ему назначена принудительная мера медицинского характера. Это решение оставлено без изменения вышестоящими судами. 2 Как утверждает заявитель, часть первая статьи 318 УК Российской Федерации не соответствует статьям 1 (часть 1), 2, 15 (часть 1), 18, 19 (части 1 и 2), 49 (часть 1), 55 (часть 2) и 68 Конституции Российской Федерации в той мере, в которой она – по смыслу, придаваемому ей правоприменительной практикой, – позволяет судам признавать наличие в деянии лица, в отношении которого ведется производство о применении принудительных мер медицинского характера, признаков насилия в отношении представителя власти, чье поведение (речь, высказывания) не давало оснований воспринимать его в качестве представителя власти несмотря на нахождение его в форменной одежде и рядом со служебным автомобилем.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