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Сметанникова Андрея Валерьевича на нарушение его конституционных прав положениями статьи 222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А.В.Сметанникова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А.В.Сметанников оспаривает конституционность абзаца первого пункта 1 и положений пункта 2 статьи 222 «Самовольная постройка» ГК Российской Федерации. Как следует из представленных материалов, апелляционным определением суда общей юрисдикции, с которым согласились суды кассационной инстанции, удовлетворены исковые требования органа местного самоуправления о признании нежилого здания, возведенного заявителем на принадлежащем ему земельном участке, самовольной постройкой и его сносе. Суды исходили из того, что создание данного объекта общей площадью более 1000 кв.м не соответствует виду разрешенного использования земельного участка («для ведения садоводства»). 2 По мнению А.В.Сметанникова, оспариваемые законоположения противоречат Конституции Российской Федерации, ее статьям 19 (части 1 и 2), 35 (части 1–3), 36, 45 (часть 1) и 46 (часть 1), поскольку позволяют, помимо прочего, возлагать обязанность по сносу постройки на лицо, действовавшее добросовестно при ее возведении, и не предоставляют ему возможности устранить несущественные нарушения нормативных требований.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Сметанникова Андрея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