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Штымова Мурата Борисовича на нарушение его конституционных прав статьями 7, 38928 и 40111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М.Б.Штымова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с учетом внесенных в него кассационным судом общей юрисдикции изменений гражданин М.Б.Штымов осужден за совершение преступления. Постановлением судьи Верховного Суда Российской Федерации, с которым согласился заместитель Председателя этого суда, отказано в передаче кассационной жалобы осужденного для ее рассмотрения в судебном заседании суда кассационной инстанции. М.Б.Штымов утверждает, что статьи 7 «Законность при производстве по уголовному делу», 38928 «Апелляционные приговор, определение и постановление» и 40111 «Решения судьи суда кассационной инстанции, 2 принимаемые им по результатам рассмотрения кассационных жалобы, представления» УПК Российской Федерации противоречат статьям 46 (части 1 и 2) и 50 (часть 3) Конституции Российской Федерации, поскольку предоставляют судам кассационной инстанции возможность игнорировать и произвольно отклонять доводы жалобы, не приводя фактические и правовые мотивы отказа в удовлетворении заявленных требований.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Штымова Мурата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