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1440-О/2025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«Ливмастер» на нарушение его конституционных прав пунктом 1 и подпунктом 9 пункта 2 статьи 1270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«Ливмастер»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«Ливмастер» (далее также – ООО «Ливмастер») оспаривает конституционность следующих положений статьи 1270 ГК Российской Федерации: пункта 1, предусматривающего, что автору произведения или иному правообладателю принадлежит исключительное право использовать произведение в соответствии со статьей 1229 данного Кодекса в любой форме и любым не противоречащим закону способом (исключительное право на произведение), в том числе способами, указанными в пункте 2 названной статьи; правообладатель может распоряжаться исключительным правом на произведение; 2 подпункта 9 пункта 2, закрепляющего, в частности, что использованием произведения независимо от того, совершаются ли соответствующие действия в целях извлечения прибыли или без такой цели, считается перевод или другая переработка произведения; при этом под переработкой произведения понимается создание производного произведения (обработки, экранизации, аранжировки, инсценировки и тому подобного).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с ООО «Ливмастер» взыскана компенсация за нарушение исключительных прав на произведения (в том числе солидарно с ответчиками-гражданами). Суд первой инстанции отметил, в частности, что заявитель допустил нарушение исключительных прав путем воспроизведения, переработки и доведения произведений до всеобщего сведения; переработку составляет изготовление экземпляров произведений с изменениями; копии произведений были записаны ООО «Ливмастер» как владельцем сайта на электронный носитель. При этом суд, сославшись на получение заявителем прибыли от размещения пользователями на сайте материалов и на приобретение им прав лицензиата, не посчитал его информационным посредником. Суд отметил, что ООО «Ливмастер» несет ответственность и в связи с нарушением авторских прав пользователями, личность которых не установлена. В передаче кассационной жалобы ООО «Ливмастер» на названные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нормы противоречат статье 44 (часть 1) Конституции Российской Федерации, поскольку они позволяют считать, что не только гражданин, но и юридическое лицо может создать 3 производное произведение путем переработки и тем самым использовать другое (оригинальное) произведение.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1270 ГК Российской Федерации конкретизирует пункт 1 статьи 1229 «Исключительное право» того же Кодекса. Подпункт 9 пункта 2 статьи 1270 ГК Российской Федерации обеспечивает защиту интересов обладателя исключительного права на произведение и достижение необходимой определенности содержания исключительного права (определения Конституционного Суда Российской Федерации от 25 октября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«Ливмастер»,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