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Роднова Николая Васильевича на нарушение его конституционных прав пунктом 2 части 1 статьи 51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Н.В.Роднова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Н.В.Роднов оспаривает конституционность пункта 2 части 1 статьи 51 Жилищного кодекса Российской Федерации, предусматривающего, в частности, что нуждающимися в жилых помещениях, предоставляемых по договорам социального найма, признаются граждане, являющиеся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нормы. 2 Из представленных материалов следует, что заявителю в период прохождения военной службы на семью из двух человек, включая супругу, была предоставлена квартира, которой они распорядились, будучи уже родителями двоих детей (приватизировали в общедолевую собственность и продали), а затем приобрели в собственность другую, с превышением размера общей площади, приходящегося на каждого члена семьи, над учетной нормой в данном населенном пункте – 12 кв.м. Апелляционным определением суда общей юрисдикции, с которым согласились суды кассационной инстанции, признано правомерным решение должностного лица об отказе в постановке на жилищный учет заявителя и его супруги (без детей) по избранному после увольнения со службы месту жительства. Суды пришли к выводу, что Н.В.Роднову – в связи с невозможностью сдачи ранее предоставленной квартиры – могла быть выделена лишь жилищная субсидия, но при условии сохранения нуждаемости в жилье, которая в рассматриваемой ситуации отсутствует. Кроме того, супруги изъявили намерение получить жилищные гарантии лишь в отношении себя, в то время как уже были обеспечены в этом качестве за счет государства. По мнению заявителя, оспариваемое законоположение не соответствует Конституции Российской Федерации, ее статьям 19 (части 1 и 2) и 39 (часть 1), поскольку не позволяет определять нуждаемость в жилье военнослужащих и членов их семей исходя из учетной нормы общей площади жилого помещения, установленной по избранному месту жительства, составляющей в его случае 18 кв.м на одного человека.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законоположение, рассматриваемое в системной связи с иными правовыми нормами, регламентирующими жилищные гарантии, призвано обеспечить реализацию принципа бесплатного предоставления жилых помещений лишь реально нуждающимся в них лицам (в том числе исходя из уровня их обеспеченности жильем в составе семьи), что 3 соотносится с правовой природой жилищных гарантий и общеправовым принципом справедливости, а также с требованиями, закрепленными в статье 40 (часть 3) Конституции Российской Федерации (определения Конституционного Суда Российской Федерации от 28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Роднова Николая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