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Хасанова Тамирлана Азатовича на нарушение его конституционных прав статьями 392 и 393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Т.А.Хасанова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Т.А.Хасанов оспаривает конституционность следующих положений Трудового кодекса Российской Федерации: статьи 392, закрепляющей сроки обращения в суд за разрешением индивидуального трудового спора и порядок их восстановления в случае пропуска; статьи 393, согласно которой при обращении в суд с иском по требованиям, вытекающим из трудовых отношений, в том числе по поводу невыполнения либо ненадлежащего выполнения условий трудового договора, носящих гражданско-правовой характер, работники освобождаются от оплаты пошлин и судебных расходов. 2 По мнению заявителя, оспариваемые нормы противоречат статьям 15, 19, 46, 120 и 123 Конституции Российской Федерации, поскольку по смыслу, придаваемому правоприменительной практикой, статья 392 Трудового кодекса Российской Федерации позволяет суду по собственной инициативе восстанавливать пропущенный истцом (работодателем) срок обращения в суд, а его статья 393 распространяется только на работников, подавших иск к работодателю, не предусматривая освобождения работника от оплаты судебных расходов в случае подачи иска работодателем.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392 Трудового кодекса Российской Федерации, закрепляя условия, порядок и сроки обращения в суд как для работника, так и для работодателя, призвана гарантировать им возможность реализации права на индивидуальные трудовые споры (статья 37, часть 4, Конституции Российской Федерации). Предусмотренные данной статьей сроки для обращения в суд выступают в качестве одного из необходимых правовых условий для достижения оптимального согласования интересов сторон трудовых отношений, направлены на быстрое и эффективное восстановление нарушенных прав. Предоставление суду права восстановить пропущенный по уважительной причине срок не означает, что он действует произвольно без учета и проверки всей совокупности обстоятельств конкретного дела, не позволивших работнику или работодателю своевременно обратиться в суд за разрешением спора. Таким образом, оспариваемое законоположение, направленное на поддержание баланса прав и интересов сторон трудового правоотношения, а также обеспечение их права на судебную защиту с целью предоставления равного доступа к правосудию, не может расцениваться как нарушающее права заявителя в указанном в жалобе аспекте. Статья 393 Трудового кодекса Российской Федерации обеспечивает право работника на судебную защиту с целью предоставления ему равного с 3 работодателем доступа к правосудию, носит гарантийный характер и не может рассматривается как нарушающая права работников. Разрешение же вопроса о возможности предоставления соответствующей гарантии по иску работодателя к работнику, на чем, как следует из материалов жалобы, настаивает заявитель, а равно проверка обоснованности судебных решений, принятых по его делу, не относятся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Хасанова Тамирлана Азатовича,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