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Дружбина Руслана Владимировича на нарушение его конституционных прав частями второй и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Р.В.Дружбина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Р.В.Дружбин оспаривает конституционность частей второй и третьей статьи 3907 «Рассмотрение кассационных жалобы, представления» ГПК Российской Федерации. Как следует из представленных материалов, определением судьи Верховного Суда Российской Федерации, с которым согласился заместитель Председателя этого суда, Р.В.Дружбину отказано в передаче кассационной жалобы для рассмотрения в судебном заседании суда кассационной инстанции. Р.В.Дружбин обратился с жалобой на имя Председателя Верховного Суда Российской Федерации, в которой просил не согласиться с упомянутым определением судьи Верховного Суда Российской Федерации. Письмом судьи данного суда Р.В.Дружбин был уведомлен о том, что его 2 кассационная жалоба уже была рассмотрена в Верховном Суде Российской Федерации в установленном законом порядке. По мнению заявителя, оспариваемые законоположения не соответствуют Конституции Российской Федерации, в том числе ее статьям 1 (часть 1), 2, 6 (часть 2), 7, 15 (часть 2), 17 (части 1 и 2), 18, 19 (части 1 и 2), 45, 46, 55 (части 1 и 2), 120 и 123 (часть 3), поскольку препятствуют лицу, подавшему кассационную жалобу, в реализации права на пересмотр неправосудных постановлений суда. Кроме того, Р.В.Дружбин просит отменить судебные постановления по делу с его участием в той мере, в какой они не соответствуют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нормы, регламентирующие указанную процедуру, не допускают произвольного отказа в рассмотрении кассационных жалобы, представления,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Изложенное согласуется с пунктом 5 статьи 3909 ГПК Российской Федерации, предусматривающим, что определение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 мотивы такого отказа. 3 Положения, регламентирующие полномочия Председателя Верховного Суда Российской Федерации, его заместителя в связи с рассмотрением жалоб и представлений на вступившие в законную силу судебные постановления, предполагают обязанность данных должностных лиц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 исключают вынесение немотивированных решений по результатам рассмотрения жалобы, представления. Таким образом, части вторая и третья статьи 3907 ГПК Российской Федерации, в том числе во взаимосвязи с другими положениями его главы 41, призваны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 и не могут расцениваться в качестве нарушающих перечисленные в жалобе конституционные права заявителя. Установление же того, имелись ли основания для передачи кассационной жалобы Р.В.Дружбина для рассмотрения в судебном заседании суда кассационной инстанции, как и отмена судебных постановлений,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Дружбина Руслана Владимировича,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