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828152-О/2025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Ш. на нарушение его конституционных прав пунктом 1 статьи 52 Семейного кодекса Российской Федерации и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Ш.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Ш. оспаривает конституционность пункта 1 статьи 52 «Оспаривание отцовства (материнства)» Семейного кодекса Российской Федерации и пункта 1 части первой статьи 134 «Отказ в принятии искового заявления» ГПК Российской Федерации. Из представленных материалов следует, что определением судьи суда общей юрисдикции, оставленным без изменения определением суда апелляционной инстанции, отказано в принятии искового заявления Ш. об оспаривании отцовства его отца (наследодателя) в отношении гражданки Р. Судья отметил, что заявитель ни в соответствии с ранее действовавшим законодательством, ни по правилам Семейного кодекса Российской Федерации не вправе оспаривать произведенную в 1973 году запись 2 наследодателя, состоявшего в браке с матерью Р., в качестве отца Р. в книге записей рождений. В передаче кассационной жалобы на названные определения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1, 2, 17–19, 35 (часть 4) и 46 (части 1 и 2) Конституции Российской Федерации, поскольку по смыслу, придаваемому им правоприменительной практикой, они позволяют отказывать в принятии искового заявления, направленного на аннулирование записи об отцовстве наследодателя в отношении наследника и предъявленного другим наследником, несмотря на сомнения в происхождении первого наследника от наследодателя и наличие оснований полагать, что при составлении записи был нарушен закон.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