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Леоновой Ирины Анатольевны на нарушение ее конституционных прав статьями 233 и 286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И.А.Леоновой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в рамках дела о несостоятельности (банкротстве) удовлетворено заявление финансового управляющего должника о признании недействительным договора дарения земельного участка, стороной которого являлась гражданка И.А.Леонова, и применении последствий недействительности сделки.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В связи с этим И.А.Леонова оспаривает конституционность статей 223 «Порядок рассмотрения дел о несостоятельности (банкротстве)» и 286 «Пределы рассмотрения дела в арбитражном суде кассационной инстанции» АПК Российской Федерации и полагает их не соответствующими статье 47 Конституции Российской Федерации, поскольку они позволили арбитражному суду пересмотреть постановления судов общей юрисдикции об отказе в удовлетворении требований другого лица о признании той же сделки недействительной и применении последствий такой недействительности и тем самым разрешить дело, подсудное суду общей юрисдикции, без изучения правильности такого разрешения в порядке кассационного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223 АПК Российской Федерации, действуя во взаимосвязи с нормами Федерального закона от 26 октября 2002 года № 127-ФЗ «О несостоятельности (банкротстве)», обеспечивает определенность процессуального порядка рассмотрения дел о банкротстве, в том числе при рассмотрении разногласий, заявлений, ходатайств и жалоб, и тем самым создает условия для реализации лицами, участвующими в деле о банкротстве, а также лицами, участвующими в арбитражном процессе по делу о банкротстве, права на судебную защиту с учетом всех применимых процессуальных принципов и гарантий. Согласно части 1 статьи 286 АПК Российской Федерации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3 возражениях относительно жалобы, если иное не предусмотрено данным Кодексом. Указанная норма, действуя во взаимосвязи с иными предписаниями главы 35 АПК Российской Федерации, в том числе статьей 288, устанавливающей в качестве основания для изменения или отмены в кассационном порядке решения, постановления арбитражного суда первой и апелляционной инстанций нарушение или неправильное применение норм процессуального права, если это нарушение привело или могло привести к принятию неправильного решения, постановления (часть 3 этой статьи), призвана обеспечить исправление возможных судебных ошибок и не предполагает принятия арбитражным судом кассационной инстанции судебного акта без учета всех доводов, изложенных в кассационной жалобе, в том числе о допущенных нижестоящими судами нарушениях правил подсудности. Таким образом, оспариваемые в жалобе законоположения, не предполагающие их произвольного применения, не могут расцениваться как нарушающие конституционные права заявительницы в указанном ею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Леоновой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