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Подлипенко Елены Алексеевны на нарушение ее конституционных прав пунктами 2 и 3 статьи 250 и пунктом 1 статьи 450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Е.А.Подлипенко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Е.А.Подлипенко оспаривает конституционность пунктов 2 и 3 статьи 250 «Преимущественное право покупки» и пункта 1 статьи 450 «Основания изменения и расторжения договора» ГК Российской Федерации. Как следует из представленных материалов, заявительнице и обществу с ограниченной ответственностью принадлежали на праве общей долевой собственности земельный участок и нежилое здание. Данное общество передало принадлежащие ему доли в праве собственности на указанные объекты недвижимости в качестве отступного другому юридическому лицу. Впоследствии соглашение об отступном было расторгнуто, восстановлены права указанного общества на соответствующие доли. Решением 2 арбитражного суда, с которым согласились суды вышестоящих инстанций, в признании недействительным упомянутого соглашения о расторжении соглашения об отступном и о применении последствий его недействительности Е.А.Подлипенко отказано. По мнению заявительницы, оспариваемые законоположения противоречат Конституции Российской Федерации, ее статьям 34 и 35 (часть 1), в той мере, в какой они позволяют сторонам сделки расторгнуть исполненный договор, которым производится отчуждение доли в праве собственности, что делает невозможной защиту интересов другого сособственника недвижимого имущества на основании пункта 3 статьи 250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450 ГК Российской Федерации, закрепляющий, в частности, что изменение и расторжение договора возможны по соглашению сторон, если иное не предусмотрено данным Кодексом, другими законами или договором, направлен на обеспечение баланса интересов сторон договора и соответствует вытекающему из Конституции Российской Федерации принципу свободы договора (определения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Подлипенко Елены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