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«Франс Моторс» на нарушение его конституционных прав пунктом 2 статьи 475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«Франс Моторс»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«Франс Моторс» (далее также – ООО «Франс Моторс») оспаривает конституционность пункта 2 статьи 475 ГК Российской Федерации, предусматривающего, что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по своему выбору: отказаться от исполнения договора купли-продажи и потребовать возврата уплаченной за 2 товар денежной суммы; потребовать замены товара ненадлежащего качества товаром, соответствующим договору. Как следует из представленных материалов, решением арбитражного суда, с которым согласились суды вышестоящих инстанций, удовлетворены исковые требования общества с ограниченной ответственностью «Т» к заявителю и обществу с ограниченной ответственностью «П.С.Р.» об обязании последнего произвести согласование (одобрение) устранения производственного недостатка автомобиля путем замены на аналогичный автомобиль надлежащего качества в соответствии с гарантийной политикой, обязании ООО «Франс Моторс» предоставить истцу согласованный (одобренный) автомобиль по акту приема-передачи. По мнению заявителя, оспариваемое законоположение не соответствует Конституции Российской Федерации, ее статье 34 (часть 1), в той мере, в какой по смыслу, придаваемому правоприменительной практикой, оно допускает в правоотношениях между субъектами предпринимательской деятельности возложение обязанности по удовлетворению требований покупателя о замене товара с существенными недостатками на лицо, не являющееся ни продавцом по договору купли- продажи, ни изготовителем такого товара.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475 ГК Российской Федерации, регулирующий отношения сторон договора купли-продажи, направлен на восстановление прав покупателей, нарушенных вследствие продажи товара ненадлежащего качества (определения Конституционного Суда Российской Федерации от 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«Франс Моторс»,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