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1018-О/2025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Пучковой Ирины Алексеевны на нарушение ее конституционных прав статьей 234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И.А.Пучковой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И.А.Пучкова оспаривает конституционность статьи 234 «Приобретательная давность» ГК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заявительнице отказано в удовлетворении искового требования о признании права собственности на земельный участок и жилой дом. Суды указали, помимо прочего, что характеристики данных объектов (площадь, количество комнат), указанные в договорах купли-продажи, составленных в 2012 и 2017 годах (в последнем случае с участием истицы в качестве покупателя), существенно расходятся с фактическими, при этом переход права собственности на 2 основании этих договоров не был зарегистрирован в Едином государственном реестре недвижимости. По мнению И.А.Пучковой, оспариваемое законоположение не соответствует статьям 1, 2, 15, 19, 35, 36, 45 и 46 Конституции Российской Федерации, поскольку ограничивает право граждан, добросовестно владеющих объектами недвижимости без осуществления государственной регистрации перехода прав на них в ЕГРН, на признание в качестве собственников этих объектов.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Пучковой Ирины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