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Харченко Анны Игоревны на нарушение ее конституционных прав статьей 72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А.И.Харченко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А.И.Харченко оспаривает конституционность статьи 72 Трудового кодекса Российской Федерации, в соответствии с которой изменение определенных сторонами условий трудового договора, в том числе перевод на другую работу, допускается только по соглашению сторон трудового договора, за исключением случаев, предусмотренных данным Кодексом; соглашение об изменении определенных сторонами условий трудового договора заключается в письменной форме. Решением суда первой инстанции, оставленным без изменения вышестоящими судами, заявительнице, имеющей двух малолетних детей, один из которых является ребенком-инвалидом, находящимся на домашнем 2 обучении, отказано в удовлетворении исковых требований к региональному управлению Федерального казначейства о понуждении заключить дополнительное соглашение к служебному контракту о переводе на дистанционную работу. Суд, ссылаясь в том числе на оспариваемое законоположение, пришел к выводу о том, что заключение соглашения о выполнении работником трудовой функции дистанционно является правом, а не обязанностью работодателя, а также принял во внимание, что дистанционное выполнение служебных обязанностей не предусмотрено должностным регламентом по замещаемой заявительницей должности и не представляется возможным ввиду необходимости соблюдения особых требований к защите информации. По мнению А.И.Харченко, оспариваемое законоположение противоречит статье 55 Конституции Российской Федерации, поскольку позволяет работодателю по своему усмотрению отказать работнику в переводе на дистанционную работу по семейным обстоятельствам, связанным с состоянием здоровья ребенка-инвалида, тем самым ограничивая соответствующее право работника, которое, как полагает заявительница, предоставлено ему статьей 3122 Трудового кодекса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72 Трудового кодекса Российской Федерации, закрепляющая в качестве общего правила необходимость взаимного согласия сторон трудового договора на изменение его условий, направлена на защиту интересов работника как экономически более слабой стороны в трудовом правоотношении, носит гарантийный характер и не может расцениваться как нарушающая права работников (определения Конституционного Суда Российской Федерации от 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Харченко Анны Игоревны,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